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769-2003/2025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июля 2025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 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исполняющая обязанности мирового судьи судебного участка № 3 Нефтеюганского судебного района Ханты-Мансийского автономного округа-Югры,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предусмотренное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15.14 Кодекса Российской Федерации об административных правонарушениях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- муниципального бюджетного общеобразовательного учреждения «Средняя общеобразовательная школа № 7»,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юридический адрес</w:t>
      </w:r>
      <w:r>
        <w:rPr>
          <w:rFonts w:ascii="Times New Roman" w:eastAsia="Times New Roman" w:hAnsi="Times New Roman" w:cs="Times New Roman"/>
          <w:sz w:val="27"/>
          <w:szCs w:val="27"/>
        </w:rPr>
        <w:t>: 628305, Ханты-Мансийский автономный округ - Югра, г. Нефтеюганск, 11 микрорайон, строение 61, ИНН 8604025570, ОГРН 1028601262403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сент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ября 2024 года в рабочее время </w:t>
      </w:r>
      <w:r>
        <w:rPr>
          <w:rFonts w:ascii="Times New Roman" w:eastAsia="Times New Roman" w:hAnsi="Times New Roman" w:cs="Times New Roman"/>
          <w:sz w:val="27"/>
          <w:szCs w:val="27"/>
        </w:rPr>
        <w:t>с 08 часов 00 минут до 17 часов 00 минут, перерыв с 12 часов 00 минут до 13 часов 00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месту нахождения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бюджетного общеобразовательного учреждения «Средняя общеобразовательная школа № 7», юридический адрес: 628305, Ханты-Мансийский автономный округ - Югра, г. Нефтеюганск, 11 микрорайон, строение 61 муниципальным бюджетным общеобразовательным учреждением «Средняя общеобразовательная школа № 7» </w:t>
      </w:r>
      <w:r>
        <w:rPr>
          <w:rFonts w:ascii="Times New Roman" w:eastAsia="Times New Roman" w:hAnsi="Times New Roman" w:cs="Times New Roman"/>
          <w:sz w:val="27"/>
          <w:szCs w:val="27"/>
        </w:rPr>
        <w:t>допущено нецелевое использование бюджетных средств, а именно за счет бюдже</w:t>
      </w:r>
      <w:r>
        <w:rPr>
          <w:rFonts w:ascii="Times New Roman" w:eastAsia="Times New Roman" w:hAnsi="Times New Roman" w:cs="Times New Roman"/>
          <w:sz w:val="27"/>
          <w:szCs w:val="27"/>
        </w:rPr>
        <w:t>та города Нефтеюганска, оплачена завышенная стоимость работ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645 руб. 26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лицо, заместитель председателя Счетной палаты города Нефтеюганска </w:t>
      </w:r>
      <w:r>
        <w:rPr>
          <w:rFonts w:ascii="Times New Roman" w:eastAsia="Times New Roman" w:hAnsi="Times New Roman" w:cs="Times New Roman"/>
          <w:sz w:val="27"/>
          <w:szCs w:val="27"/>
        </w:rPr>
        <w:t>Хуснуллина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Э.Н. в судебном заседании подтвердила обстоятельства, изложенные в протоколе об административном правонарушении, просила назначить наказание на усмотрение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законный представитель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 - муниципального бюджетного общеобразовательного учреждения «Средняя общеоб</w:t>
      </w:r>
      <w:r>
        <w:rPr>
          <w:rFonts w:ascii="Times New Roman" w:eastAsia="Times New Roman" w:hAnsi="Times New Roman" w:cs="Times New Roman"/>
          <w:sz w:val="27"/>
          <w:szCs w:val="27"/>
        </w:rPr>
        <w:t>разовательная школа № 7»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далее – МБОУ СОШ №7) </w:t>
      </w:r>
      <w:r>
        <w:rPr>
          <w:rFonts w:ascii="Times New Roman" w:eastAsia="Times New Roman" w:hAnsi="Times New Roman" w:cs="Times New Roman"/>
          <w:sz w:val="27"/>
          <w:szCs w:val="27"/>
        </w:rPr>
        <w:t>Куаныше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подтвердил факт совершения административного правонарушения, признал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просил назначить минимальное наказание в пределах санкции статьи 15.14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>выслушав участников процесса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считает, что событие административного правонарушения и вина </w:t>
      </w:r>
      <w:r>
        <w:rPr>
          <w:rFonts w:ascii="Times New Roman" w:eastAsia="Times New Roman" w:hAnsi="Times New Roman" w:cs="Times New Roman"/>
          <w:sz w:val="27"/>
          <w:szCs w:val="27"/>
        </w:rPr>
        <w:t>МБОУ СОШ №7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совершении подтверждаются совокупностью исследованных в судебном заседании доказательств: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Style w:val="cat-UserDefinedgrp-48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составленным в присутствии законного представителя Учреждения,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Счётной палатой города Нефтеюганска проведено контрольное мероприятие «Проверка законности и эффективности использования средств бюджета города Нефтеюганска, выделенных на проведение ремонтов в сфере образования» (далее – контрольное мероприятие) на объекте </w:t>
      </w:r>
      <w:r>
        <w:rPr>
          <w:rFonts w:ascii="Times New Roman" w:eastAsia="Times New Roman" w:hAnsi="Times New Roman" w:cs="Times New Roman"/>
          <w:sz w:val="27"/>
          <w:szCs w:val="27"/>
        </w:rPr>
        <w:t>МБОУ СОШ №7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результатам которого составлен акт от 23.05.2025, 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торый подписан без разногласий.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проведения контрольного мероприятия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положений абзаца 1 пункта 1 статьи 78.1 БК РФ и в соответствии с частью 6 статьи 9.2 Федерального закона от 12.01.1996 № 7-ФЗ «О некоммерческих организациях» (далее – Закон о некоммерческих организациях) финансовое обеспечение выполнения государственного (муниципального) задания бюджетным учреждением осуществляется в виде субсидий из соответствующего бюджета бюджетной системы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Порядком осуществления функций и полномочий учредителя муниципальных учреждений города Нефтеюганск, утверждённым постановлением администрации города Нефтеюганска от 03.08.2017 № 126-нп (далее – Порядок № 126-нп) определено, что уполномоченный орган администрации города Нефтеюганска, в ведении которого закреплены муниципальные учреждения, осуществляет функции и полномочия учредителя муниципальных учреждений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финансового обеспечения: </w:t>
      </w:r>
      <w:r>
        <w:rPr>
          <w:rFonts w:ascii="Times New Roman" w:eastAsia="Times New Roman" w:hAnsi="Times New Roman" w:cs="Times New Roman"/>
          <w:sz w:val="27"/>
          <w:szCs w:val="27"/>
        </w:rPr>
        <w:t>- выполнения муниципального задания подведомственными муниципальными учреждениями (пункт 5.5);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капитального и текущего ремонта в отношении объектов муниципальной собственности, закреплённых департаментом муниципального имущества администрации города Нефтеюганска за муниципальными учреждениями (пункт 5.6).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Приложением к Порядку № 126-нп установлена ведомственная принадлежность муниципальных учреждений города Нефтеюганска, согласно которой Учреждение являлось подведомственным департаменту образования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министрации города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Нефтеюганска.</w:t>
      </w:r>
      <w:r>
        <w:rPr>
          <w:rFonts w:ascii="Times New Roman" w:eastAsia="Times New Roman" w:hAnsi="Times New Roman" w:cs="Times New Roman"/>
          <w:sz w:val="27"/>
          <w:szCs w:val="27"/>
        </w:rPr>
        <w:t>Пунктом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статьи 69.2 БК РФ, частью 7 статьи 9.2 Закона о некоммерческих организациях предусмотрено, что порядок формирования муниципального задания и порядок финансового обеспечения выполнения этого задания определяется местной администрацией в отношении муниципальных бюджетных учреждений.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Порядку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утверждённому постановлением администрации города Нефт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еюганска от 14.02.2018 № 24-нп: </w:t>
      </w:r>
      <w:r>
        <w:rPr>
          <w:rFonts w:ascii="Times New Roman" w:eastAsia="Times New Roman" w:hAnsi="Times New Roman" w:cs="Times New Roman"/>
          <w:sz w:val="27"/>
          <w:szCs w:val="27"/>
        </w:rPr>
        <w:t>- финансовое обеспечение выполнения муниципального задания бюджетным учреждениям осуществляется путём предоставления субсидии из бюджета города Нефтеюганска (пункт 3.1);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учредителем бюджетного учреждения с бюджетным учреждением (пункт 4.1)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Между департаментом образования администрации города Нефтеюганска (далее – Департамент) и Учреждением заключено на 2024 год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муниципального образования город Нефтеюганск от 29.12.2023 № 1 (далее – Соглашение).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2.3.1 Соглашения Учреждение обязуется осуществлять целевое и эффективное использование субсидии в целях оказания муниципальных услуг (выполнения работ) в соответствии с требованиями к </w:t>
      </w:r>
      <w:r>
        <w:rPr>
          <w:rFonts w:ascii="Times New Roman" w:eastAsia="Times New Roman" w:hAnsi="Times New Roman" w:cs="Times New Roman"/>
          <w:sz w:val="27"/>
          <w:szCs w:val="27"/>
        </w:rPr>
        <w:t>качеству и (или) объёму (содержанию), порядку оказания муниципальных услуг (выполнения работ), определёнными в муниципальном задании.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рамках Соглашения Учреждением заключен контракт от 05.08.2024 № </w:t>
      </w:r>
      <w:r>
        <w:rPr>
          <w:rStyle w:val="cat-UserDefinedgrp-18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49rplc-51"/>
          <w:rFonts w:ascii="Times New Roman" w:eastAsia="Times New Roman" w:hAnsi="Times New Roman" w:cs="Times New Roman"/>
          <w:sz w:val="27"/>
          <w:szCs w:val="27"/>
        </w:rPr>
        <w:t>ИП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сумму 1 794 413 рублей 08 копеек. Предмет контракта: текущий ремонт туалетов на 3 этаже в здании школы.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Учреждением приняты работы по акту о приёмке выполненных работ (формы № КС-2), справке о стоимости выполненных работ и затрат (формы № КС-3) и оплачены по платёжному поручению в полном объёме (приложение № 1 к акту Счётной палаты).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целях установления фактически выполненных работ, в ходе контрольного мероприятия комиссией, состоящей из должностных лиц Счётной палаты, Учреждения, Департамента, муниципального казённого учреждения «Управление учёта и отчётности образовательных учреждений», представителя подрядчика, произведен осмотр, результат которого зафиксирован в акте визуального осмотра от 24.04.2025 (приложение № 2 к акту Счётной палаты), где зафиксировано, что в связи с отсутствием потребности не установлены в помещениях по техническому паспорту: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№№ 14, 17: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вентиляционные решетки размером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50*200 мм в количестве 2 штук; </w:t>
      </w:r>
      <w:r>
        <w:rPr>
          <w:rFonts w:ascii="Times New Roman" w:eastAsia="Times New Roman" w:hAnsi="Times New Roman" w:cs="Times New Roman"/>
          <w:sz w:val="27"/>
          <w:szCs w:val="27"/>
        </w:rPr>
        <w:t>люки сантехнические (ревизионные) размером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00*300 мм в количестве 2 штук; </w:t>
      </w:r>
      <w:r>
        <w:rPr>
          <w:rFonts w:ascii="Times New Roman" w:eastAsia="Times New Roman" w:hAnsi="Times New Roman" w:cs="Times New Roman"/>
          <w:sz w:val="27"/>
          <w:szCs w:val="27"/>
        </w:rPr>
        <w:t>розетка с заз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емлением в количестве 1 штуки; </w:t>
      </w:r>
      <w:r>
        <w:rPr>
          <w:rFonts w:ascii="Times New Roman" w:eastAsia="Times New Roman" w:hAnsi="Times New Roman" w:cs="Times New Roman"/>
          <w:sz w:val="27"/>
          <w:szCs w:val="27"/>
        </w:rPr>
        <w:t>смесители для мойки и умывальника в количестве 3 штук. При этом, в локальном сметном расчёте по помещениям №№ 16, 19, 20 позиция по приобретению материала «Смесители для мойки и умывальника» также присутствует, но без стоимостного показателя;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№№ 16, 19, 20: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вентиляционные решетки размером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150*200 мм в количестве 3 штук; </w:t>
      </w:r>
      <w:r>
        <w:rPr>
          <w:rFonts w:ascii="Times New Roman" w:eastAsia="Times New Roman" w:hAnsi="Times New Roman" w:cs="Times New Roman"/>
          <w:sz w:val="27"/>
          <w:szCs w:val="27"/>
        </w:rPr>
        <w:t>люки сантехнические (ревизионные) размером 300*300 мм в количе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 2 </w:t>
      </w:r>
      <w:r>
        <w:rPr>
          <w:rFonts w:ascii="Times New Roman" w:eastAsia="Times New Roman" w:hAnsi="Times New Roman" w:cs="Times New Roman"/>
          <w:sz w:val="27"/>
          <w:szCs w:val="27"/>
        </w:rPr>
        <w:t>штук;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розетка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заз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емлением в количестве 1 штуки;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светильник светодиодный в количестве 1 штуки.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тоже время, в помещениях по техническому паспорту №№ 14, 17 установлено 5 штук светодиодных светильников вместо 4 штук.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результате завышена сметная стоимость и оплата выполненных работ на 12 645 рублей 26 копеек (приложение № 3 к акту Счётной палаты).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Датой совершения правонарушения является дата совершения платежа, поскольку объективная сторона правонарушения характеризуется совершением конкретной платёжно-расчётной операции.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нарушение статьи 78.1 БК РФ, Соглашения Учреждением средства субсидии на финансовое обеспечение выполнения муниципального задания в сумме 12 645 рублей 26 копеек направлены на цели, не связанные с выполнением задания в 2024 году, а именно ввиду оплаты платёжным поручением от 04.09.2024 № </w:t>
      </w:r>
      <w:r>
        <w:rPr>
          <w:rStyle w:val="cat-UserDefinedgrp-50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материалов и работ, которые фактически не использовались и не выполнялись.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Куанышев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7"/>
          <w:szCs w:val="27"/>
        </w:rPr>
        <w:t>Куанышеву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разъяснены, о чем в протоколе имеется ее подпись;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 другими письменными доказательствами, имеющимися в материалах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судебном заседании установлено, что в нарушение статьи 78.1 БК РФ, Соглашения МБОУ СОШ №7 средства субсидии на финансовое обеспечение выполнения муниципального задания в сумме 12 645 рублей 26 копеек направлены на цели, не связанные с выполнением задания в 2024 году, 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именно ввиду оплаты платёжным поручением от 04.09.2024 № </w:t>
      </w:r>
      <w:r>
        <w:rPr>
          <w:rStyle w:val="cat-UserDefinedgrp-50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материалов и работ, которые фактически не использовались и не выполнялись.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нецелевого использования </w:t>
      </w:r>
      <w:r>
        <w:rPr>
          <w:rFonts w:ascii="Times New Roman" w:eastAsia="Times New Roman" w:hAnsi="Times New Roman" w:cs="Times New Roman"/>
          <w:sz w:val="27"/>
          <w:szCs w:val="27"/>
        </w:rPr>
        <w:t>МБОУ СОШ №7</w:t>
      </w:r>
      <w:r>
        <w:rPr>
          <w:rFonts w:ascii="Times New Roman" w:eastAsia="Times New Roman" w:hAnsi="Times New Roman" w:cs="Times New Roman"/>
          <w:sz w:val="27"/>
          <w:szCs w:val="27"/>
        </w:rPr>
        <w:t>, нашел свое подтверждение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доказательства в их совокупности, 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МБОУ СОШ №7 </w:t>
      </w:r>
      <w:r>
        <w:rPr>
          <w:rFonts w:ascii="Times New Roman" w:eastAsia="Times New Roman" w:hAnsi="Times New Roman" w:cs="Times New Roman"/>
          <w:sz w:val="27"/>
          <w:szCs w:val="27"/>
        </w:rPr>
        <w:t>по ст. 15.14 Кодекса Российской Федерации об административных правонарушениях - нецелевое использование бюджетных средств, выразившееся в направлении средств, полученных из бюджета бюджетной системы Российской Федерации, на цели, не соответствующие целям, определенным соглашением, являющимся правовым основанием предоставления указанных средств, если такое действие не содержит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 положениями ст. 4.2 Кодекса Российской Федерации об административных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шениях, является признание вины.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мировым судьей по делу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Санкция 15.14 Кодекса Российской Федерации об административных правонарушениях предусматривает назначение наказания для юридических лиц в виде административного штрафа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совершенного правонарушения, имущественное положение юридического лица, отсутствие обстоятельств, отягчающих административную ответственность, наличие обстоятельств, смягчающих административную ответственность, мировой судья считает возможным и целесообразным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МБОУ СОШ №7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 в минимальном размере, то есть в размере пяти процентов суммы средств, полученных из бюджета бюджетной системы Российской Федерации, использованных не по целевому назначению, что в денежном эквиваленте составляет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632 руб. 26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юридическое лицо - муниципальное бюджетное общеобразовательное учреждение «Средняя общеобразовательная школа № 7»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15.14 Кодекса Российской Федерации об административных правонарушениях, и подвергнуть административному наказанию в виде пяти процентов суммы средств, полученных из бюджета бюджетной системы Российской Федерации, использованных не по целевому назначению, что в денежном эквиваленте составляет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632 рубля 26 копеек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округу-Югре (Счётная палата города Нефтеюганска 04873</w:t>
      </w:r>
      <w:r>
        <w:rPr>
          <w:rFonts w:ascii="Times New Roman" w:eastAsia="Times New Roman" w:hAnsi="Times New Roman" w:cs="Times New Roman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sz w:val="27"/>
          <w:szCs w:val="27"/>
        </w:rPr>
        <w:t>09020) ИНН 8604072073 КПП 860401001 ЕКС 40102810245370000007 р/с 03100643000000018700 Банк РКЦ Ханты-Мансийск // УФК п</w:t>
      </w:r>
      <w:r>
        <w:rPr>
          <w:rFonts w:ascii="Times New Roman" w:eastAsia="Times New Roman" w:hAnsi="Times New Roman" w:cs="Times New Roman"/>
          <w:sz w:val="27"/>
          <w:szCs w:val="27"/>
        </w:rPr>
        <w:t>о Ханты-Мансийскому автономном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округу</w:t>
      </w:r>
      <w:r>
        <w:rPr>
          <w:rFonts w:ascii="Times New Roman" w:eastAsia="Times New Roman" w:hAnsi="Times New Roman" w:cs="Times New Roman"/>
          <w:sz w:val="27"/>
          <w:szCs w:val="27"/>
        </w:rPr>
        <w:t>-Югре, г. Ханты-Мансийск БИК 007162163 Код УИН «0» ОКТМО 71874000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течении 10 дней со дня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left="20" w:right="40"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347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8rplc-25">
    <w:name w:val="cat-UserDefined grp-48 rplc-25"/>
    <w:basedOn w:val="DefaultParagraphFont"/>
  </w:style>
  <w:style w:type="character" w:customStyle="1" w:styleId="cat-UserDefinedgrp-18rplc-48">
    <w:name w:val="cat-UserDefined grp-18 rplc-48"/>
    <w:basedOn w:val="DefaultParagraphFont"/>
  </w:style>
  <w:style w:type="character" w:customStyle="1" w:styleId="cat-UserDefinedgrp-49rplc-51">
    <w:name w:val="cat-UserDefined grp-49 rplc-51"/>
    <w:basedOn w:val="DefaultParagraphFont"/>
  </w:style>
  <w:style w:type="character" w:customStyle="1" w:styleId="cat-UserDefinedgrp-50rplc-59">
    <w:name w:val="cat-UserDefined grp-50 rplc-59"/>
    <w:basedOn w:val="DefaultParagraphFont"/>
  </w:style>
  <w:style w:type="character" w:customStyle="1" w:styleId="cat-UserDefinedgrp-50rplc-65">
    <w:name w:val="cat-UserDefined grp-50 rplc-65"/>
    <w:basedOn w:val="DefaultParagraphFont"/>
  </w:style>
  <w:style w:type="character" w:customStyle="1" w:styleId="cat-UserDefinedgrp-51rplc-78">
    <w:name w:val="cat-UserDefined grp-51 rplc-78"/>
    <w:basedOn w:val="DefaultParagraphFont"/>
  </w:style>
  <w:style w:type="character" w:customStyle="1" w:styleId="cat-UserDefinedgrp-52rplc-81">
    <w:name w:val="cat-UserDefined grp-52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&#1076;&#1083;&#1103;%20&#1076;&#1086;&#1084;&#1072;%2021%20&#1072;&#1074;&#1075;&#1091;&#1089;&#1090;&#1072;\&#1072;&#1076;&#1084;\&#1043;&#1102;&#1083;&#1100;&#1072;&#1083;&#1080;&#1077;&#1074;%2020.25%20&#1095;.1%20&#1043;&#1040;&#1048;,%205-989.doc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0633-0420-44BB-9D03-B2AC5A153F2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